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F415" w14:textId="77777777" w:rsidR="00510786" w:rsidRDefault="005F515D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Digitalizare și Eficiență energetică – Oradea</w:t>
      </w:r>
    </w:p>
    <w:p w14:paraId="3F86D30C" w14:textId="77777777" w:rsidR="00510786" w:rsidRDefault="005107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25B524B" w14:textId="77777777" w:rsidR="00510786" w:rsidRDefault="005107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7470E667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  <w:highlight w:val="white"/>
        </w:rPr>
      </w:pPr>
    </w:p>
    <w:p w14:paraId="2A43F17C" w14:textId="77777777" w:rsidR="00510786" w:rsidRDefault="005F51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Conferință în format clasic, la hotel Ramada (sala Piemonte)</w:t>
      </w:r>
    </w:p>
    <w:p w14:paraId="0B93E376" w14:textId="77777777" w:rsidR="00510786" w:rsidRDefault="005F51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Joi, 23 septembrie 2021, intervalul 10.00 - 13.30</w:t>
      </w:r>
    </w:p>
    <w:p w14:paraId="4389EF4C" w14:textId="77777777" w:rsidR="00510786" w:rsidRDefault="00510786">
      <w:pPr>
        <w:jc w:val="both"/>
        <w:rPr>
          <w:rFonts w:ascii="Arial" w:eastAsia="Arial" w:hAnsi="Arial" w:cs="Arial"/>
          <w:b/>
          <w:sz w:val="12"/>
          <w:szCs w:val="12"/>
        </w:rPr>
      </w:pPr>
    </w:p>
    <w:p w14:paraId="1DAE10C0" w14:textId="77777777" w:rsidR="00510786" w:rsidRDefault="005F515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CONCEPT</w:t>
      </w:r>
    </w:p>
    <w:p w14:paraId="39C55CEF" w14:textId="77777777" w:rsidR="00510786" w:rsidRDefault="005F515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Energynomics vă propune o întâlnire menită să crească nivelul de conștientizare și de înţelegere asupra a ceea ce este și a modului în care se poate îmbunătăţi eficiența energetică. Pentru aceasta, ne propunem să informăm companiile interesate și consumato</w:t>
      </w:r>
      <w:r>
        <w:rPr>
          <w:rFonts w:ascii="Arial" w:eastAsia="Arial" w:hAnsi="Arial" w:cs="Arial"/>
          <w:sz w:val="24"/>
          <w:szCs w:val="24"/>
          <w:highlight w:val="white"/>
        </w:rPr>
        <w:t>rii finali, inclusiv autorităţi publice locale, cu privire la beneficiile reale şi tangibile ale reducerii consumului de energie.</w:t>
      </w:r>
    </w:p>
    <w:p w14:paraId="638B05BA" w14:textId="77777777" w:rsidR="00510786" w:rsidRDefault="005F515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Vom invita experți din sectorul energetic, factori de decizie din autoritățile publice din România și companii – de la start-u</w:t>
      </w:r>
      <w:r>
        <w:rPr>
          <w:rFonts w:ascii="Arial" w:eastAsia="Arial" w:hAnsi="Arial" w:cs="Arial"/>
          <w:sz w:val="24"/>
          <w:szCs w:val="24"/>
          <w:highlight w:val="white"/>
        </w:rPr>
        <w:t>p-uri și IMM-uri, la cele mai mari întreprinderi, interesate de subiecte precum: legislația și reglementările privind eficiența energetică, finanțarea pentru proiecte de eficiență energetică și sprijin pentru autoritățile publice și IMM-uri.</w:t>
      </w:r>
    </w:p>
    <w:p w14:paraId="6767A6A8" w14:textId="77777777" w:rsidR="00510786" w:rsidRDefault="005F515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TEME</w:t>
      </w:r>
    </w:p>
    <w:p w14:paraId="0E715F10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Servicii </w:t>
      </w:r>
      <w:r>
        <w:rPr>
          <w:rFonts w:ascii="Arial" w:eastAsia="Arial" w:hAnsi="Arial" w:cs="Arial"/>
          <w:color w:val="000000"/>
          <w:sz w:val="24"/>
          <w:szCs w:val="24"/>
        </w:rPr>
        <w:t>energetice: Prevederile legale şi soluţii pentru stimularea pieței serviciilor energetice, echilibrare şi flexibilitate energetică</w:t>
      </w:r>
    </w:p>
    <w:p w14:paraId="2E58AF19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Informarea consumatorilor – aspect vital în promovarea eficienței energetice</w:t>
      </w:r>
    </w:p>
    <w:p w14:paraId="1B421419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Mobilitate electrică – infrastructură, modele de business, smart city</w:t>
      </w:r>
    </w:p>
    <w:p w14:paraId="5109B788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Centrale termice și încălzire: evaluarea potențialului de creştere a eficienţei în cogenerare și încălzire ce</w:t>
      </w:r>
      <w:r>
        <w:rPr>
          <w:rFonts w:ascii="Arial" w:eastAsia="Arial" w:hAnsi="Arial" w:cs="Arial"/>
          <w:color w:val="000000"/>
          <w:sz w:val="24"/>
          <w:szCs w:val="24"/>
        </w:rPr>
        <w:t>ntralizată</w:t>
      </w:r>
    </w:p>
    <w:p w14:paraId="7CD2BBF0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Obligații, audituri și monitorizare: opțiuni de implementare și probleme privind monitorizarea</w:t>
      </w:r>
    </w:p>
    <w:p w14:paraId="3B80D6BB" w14:textId="77777777" w:rsidR="00510786" w:rsidRDefault="005F5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Planuri de acțiune naționale pentru eficiență energetică – mobilitatea electrică, iniţiative locale</w:t>
      </w:r>
    </w:p>
    <w:p w14:paraId="58BA972E" w14:textId="77777777" w:rsidR="00510786" w:rsidRDefault="00510786">
      <w:pPr>
        <w:shd w:val="clear" w:color="auto" w:fill="FFFFFF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094691FC" w14:textId="77777777" w:rsidR="00510786" w:rsidRDefault="005F515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VORBITORI</w:t>
      </w:r>
    </w:p>
    <w:p w14:paraId="735B34F4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Mircea Mălan</w:t>
      </w:r>
      <w:r>
        <w:rPr>
          <w:rFonts w:ascii="Arial" w:eastAsia="Arial" w:hAnsi="Arial" w:cs="Arial"/>
          <w:color w:val="000000"/>
          <w:sz w:val="24"/>
          <w:szCs w:val="24"/>
        </w:rPr>
        <w:t>, vicepreședintele Consiliului Judetean Bihor</w:t>
      </w:r>
    </w:p>
    <w:p w14:paraId="0D0B6EA1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Alina Silaghi,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directorul Agenției de Dezvoltare Locală Oradea </w:t>
      </w:r>
    </w:p>
    <w:p w14:paraId="0A9FBEE1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Nicodin Ioan-Aurel, </w:t>
      </w:r>
      <w:r>
        <w:rPr>
          <w:rFonts w:ascii="Arial" w:eastAsia="Arial" w:hAnsi="Arial" w:cs="Arial"/>
          <w:color w:val="000000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z w:val="24"/>
          <w:szCs w:val="24"/>
        </w:rPr>
        <w:t>ager Energetic, Celestica</w:t>
      </w:r>
    </w:p>
    <w:p w14:paraId="2D6A6D8B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Marian Dor</w:t>
      </w:r>
      <w:r>
        <w:rPr>
          <w:rFonts w:ascii="Arial" w:eastAsia="Arial" w:hAnsi="Arial" w:cs="Arial"/>
          <w:color w:val="000000"/>
          <w:sz w:val="24"/>
          <w:szCs w:val="24"/>
        </w:rPr>
        <w:t>, CEO Wiren România</w:t>
      </w:r>
    </w:p>
    <w:p w14:paraId="66F942FD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Constantin Ichimoaei</w:t>
      </w:r>
      <w:r>
        <w:rPr>
          <w:rFonts w:ascii="Arial" w:eastAsia="Arial" w:hAnsi="Arial" w:cs="Arial"/>
          <w:color w:val="000000"/>
          <w:sz w:val="24"/>
          <w:szCs w:val="24"/>
        </w:rPr>
        <w:t>, Executive Manager ABB România</w:t>
      </w:r>
    </w:p>
    <w:p w14:paraId="038BC76B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Laurențiu Brumaru</w:t>
      </w:r>
      <w:r>
        <w:rPr>
          <w:rFonts w:ascii="Arial" w:eastAsia="Arial" w:hAnsi="Arial" w:cs="Arial"/>
          <w:color w:val="000000"/>
          <w:sz w:val="24"/>
          <w:szCs w:val="24"/>
        </w:rPr>
        <w:t>, Head of Sales &amp; Marketing e-Industries, Enel X România</w:t>
      </w:r>
    </w:p>
    <w:p w14:paraId="246E0FBE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Cristian Athanasovici</w:t>
      </w:r>
      <w:r>
        <w:rPr>
          <w:rFonts w:ascii="Arial" w:eastAsia="Arial" w:hAnsi="Arial" w:cs="Arial"/>
          <w:color w:val="000000"/>
          <w:sz w:val="24"/>
          <w:szCs w:val="24"/>
        </w:rPr>
        <w:t>, BDM, Kawasaki Gas Turbine Europe</w:t>
      </w:r>
    </w:p>
    <w:p w14:paraId="2D5EA485" w14:textId="77777777" w:rsidR="00510786" w:rsidRDefault="005F5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Cătălin Lepinzean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BDM, Phoenix Contact</w:t>
      </w:r>
    </w:p>
    <w:p w14:paraId="22DA5A82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CEFF0D" w14:textId="77777777" w:rsidR="00510786" w:rsidRDefault="005F51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Vom avea posibilitatea de a expune suport viziual al prezentării (.pdf sau .ppt), videos etc.</w:t>
      </w:r>
    </w:p>
    <w:p w14:paraId="36D61565" w14:textId="77777777" w:rsidR="00971C4E" w:rsidRDefault="00971C4E">
      <w:pPr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br w:type="page"/>
      </w:r>
    </w:p>
    <w:p w14:paraId="791B56AF" w14:textId="20FD774A" w:rsidR="00510786" w:rsidRDefault="005F51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DESFĂŞURATOR</w:t>
      </w:r>
    </w:p>
    <w:p w14:paraId="28D963EC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6DB2163" w14:textId="77777777" w:rsidR="00510786" w:rsidRDefault="005F515D">
      <w:pPr>
        <w:spacing w:after="12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09.50 - 10.00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Conectare și teste</w:t>
      </w:r>
    </w:p>
    <w:p w14:paraId="0F9CA5D7" w14:textId="77777777" w:rsidR="00510786" w:rsidRDefault="005F515D">
      <w:pPr>
        <w:spacing w:after="12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10.00 - 10.05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Introducere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Gabriel Avăcăriței</w:t>
      </w:r>
      <w:r>
        <w:rPr>
          <w:rFonts w:ascii="Arial" w:eastAsia="Arial" w:hAnsi="Arial" w:cs="Arial"/>
          <w:sz w:val="24"/>
          <w:szCs w:val="24"/>
          <w:highlight w:val="white"/>
        </w:rPr>
        <w:t>, Energynomics</w:t>
      </w:r>
    </w:p>
    <w:p w14:paraId="0792D88A" w14:textId="77777777" w:rsidR="00510786" w:rsidRDefault="005F515D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10.05 - 10.20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Prezentare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Mircea Mălan</w:t>
      </w:r>
    </w:p>
    <w:p w14:paraId="2789D8C9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10.20 - 10.35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Nicodin Ioan-Aurel</w:t>
      </w:r>
    </w:p>
    <w:p w14:paraId="6E4E68C4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10.35 - 10.50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Marian Dor</w:t>
      </w:r>
    </w:p>
    <w:p w14:paraId="5116078F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11.05 - 11.20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Cătălin Lepinzean</w:t>
      </w:r>
    </w:p>
    <w:p w14:paraId="552CE991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11.20 - 11.40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Sesiune de întrebări și răspunsuri</w:t>
      </w:r>
    </w:p>
    <w:p w14:paraId="370939BE" w14:textId="77777777" w:rsidR="00510786" w:rsidRDefault="0051078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7F8EE3C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highlight w:val="white"/>
        </w:rPr>
        <w:t>11.40 - 12.00</w:t>
      </w:r>
      <w:r>
        <w:rPr>
          <w:rFonts w:ascii="Arial" w:eastAsia="Arial" w:hAnsi="Arial" w:cs="Arial"/>
          <w:b/>
          <w:i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sz w:val="24"/>
          <w:szCs w:val="24"/>
          <w:highlight w:val="white"/>
        </w:rPr>
        <w:t>Pauză</w:t>
      </w:r>
    </w:p>
    <w:p w14:paraId="23D86730" w14:textId="77777777" w:rsidR="00510786" w:rsidRDefault="0051078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FFB6BC9" w14:textId="77777777" w:rsidR="00510786" w:rsidRDefault="005F515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12.00 - 12.15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Alina Silaghi</w:t>
      </w:r>
    </w:p>
    <w:p w14:paraId="2B62E592" w14:textId="53F4A920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12.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15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- 12.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30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Cristian Athanasovici</w:t>
      </w:r>
    </w:p>
    <w:p w14:paraId="0C0DECEE" w14:textId="6293230E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12.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30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- 1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45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Constantin Ichimoaei</w:t>
      </w:r>
    </w:p>
    <w:p w14:paraId="0D47269A" w14:textId="3588848B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45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- 13.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00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Prezentare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Laurențiu Brumaru</w:t>
      </w:r>
    </w:p>
    <w:p w14:paraId="7DA0A800" w14:textId="0EE02D06" w:rsidR="00510786" w:rsidRDefault="005F515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13.</w:t>
      </w:r>
      <w:r w:rsidR="00B433B5">
        <w:rPr>
          <w:rFonts w:ascii="Arial" w:eastAsia="Arial" w:hAnsi="Arial" w:cs="Arial"/>
          <w:b/>
          <w:sz w:val="24"/>
          <w:szCs w:val="24"/>
          <w:highlight w:val="white"/>
        </w:rPr>
        <w:t>00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- 13.</w:t>
      </w:r>
      <w:r w:rsidR="007B1593">
        <w:rPr>
          <w:rFonts w:ascii="Arial" w:eastAsia="Arial" w:hAnsi="Arial" w:cs="Arial"/>
          <w:b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0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Sesiune de întrebări și răspunsuri</w:t>
      </w:r>
    </w:p>
    <w:p w14:paraId="175A01D6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052FB4" w14:textId="77777777" w:rsidR="00510786" w:rsidRDefault="00510786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03F8BD" w14:textId="77777777" w:rsidR="00510786" w:rsidRDefault="005F515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PARTENERI</w:t>
      </w:r>
    </w:p>
    <w:p w14:paraId="186A3751" w14:textId="77777777" w:rsidR="00510786" w:rsidRDefault="005F515D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Această conferință este organizată de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Energyn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omics</w:t>
      </w:r>
      <w:r>
        <w:rPr>
          <w:rFonts w:ascii="Arial" w:eastAsia="Arial" w:hAnsi="Arial" w:cs="Arial"/>
          <w:sz w:val="24"/>
          <w:szCs w:val="24"/>
          <w:highlight w:val="white"/>
        </w:rPr>
        <w:t>, cu sprijinul partenerilor noștri: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 ABB România, EnelX România, Phoenix Contact, Kawasaki Gas Turbine Europe, Wiren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3DD8CAEF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EE089E" w14:textId="77777777" w:rsidR="00510786" w:rsidRDefault="00510786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CD6E6B" w14:textId="77777777" w:rsidR="00510786" w:rsidRDefault="005F515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ASISTENŢĂ</w:t>
      </w:r>
    </w:p>
    <w:p w14:paraId="1211AA42" w14:textId="77777777" w:rsidR="00510786" w:rsidRDefault="005F51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Vom avea în asistență circa 30 de persoane interesate de tematica propusă.</w:t>
      </w:r>
    </w:p>
    <w:p w14:paraId="4ABD5FF9" w14:textId="77777777" w:rsidR="00510786" w:rsidRDefault="005107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179D8F" w14:textId="77777777" w:rsidR="00510786" w:rsidRDefault="005F51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Conferința va fi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transmisă LIVE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pe canalul de YouTube al Energynomics și pe paginile de social media: Facebook și LinkedIn.</w:t>
      </w:r>
    </w:p>
    <w:sectPr w:rsidR="00510786">
      <w:headerReference w:type="default" r:id="rId8"/>
      <w:pgSz w:w="12240" w:h="15840"/>
      <w:pgMar w:top="1440" w:right="1440" w:bottom="709" w:left="144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BF82" w14:textId="77777777" w:rsidR="005F515D" w:rsidRDefault="005F515D">
      <w:pPr>
        <w:spacing w:after="0" w:line="240" w:lineRule="auto"/>
      </w:pPr>
      <w:r>
        <w:separator/>
      </w:r>
    </w:p>
  </w:endnote>
  <w:endnote w:type="continuationSeparator" w:id="0">
    <w:p w14:paraId="5C0C4895" w14:textId="77777777" w:rsidR="005F515D" w:rsidRDefault="005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0DF6" w14:textId="77777777" w:rsidR="005F515D" w:rsidRDefault="005F515D">
      <w:pPr>
        <w:spacing w:after="0" w:line="240" w:lineRule="auto"/>
      </w:pPr>
      <w:r>
        <w:separator/>
      </w:r>
    </w:p>
  </w:footnote>
  <w:footnote w:type="continuationSeparator" w:id="0">
    <w:p w14:paraId="213054D0" w14:textId="77777777" w:rsidR="005F515D" w:rsidRDefault="005F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ED70" w14:textId="77777777" w:rsidR="00510786" w:rsidRDefault="005F51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  <w:color w:val="0D78C9"/>
        <w:sz w:val="44"/>
        <w:szCs w:val="44"/>
      </w:rPr>
      <w:drawing>
        <wp:inline distT="0" distB="0" distL="0" distR="0" wp14:anchorId="6421BF79" wp14:editId="7DBB708D">
          <wp:extent cx="1973580" cy="3733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580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438CD"/>
    <w:multiLevelType w:val="multilevel"/>
    <w:tmpl w:val="B5169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942B2B"/>
    <w:multiLevelType w:val="multilevel"/>
    <w:tmpl w:val="ABF09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TY0NAICcxNDCyUdpeDU4uLM/DyQAsNaAAoxO6QsAAAA"/>
  </w:docVars>
  <w:rsids>
    <w:rsidRoot w:val="00510786"/>
    <w:rsid w:val="00510786"/>
    <w:rsid w:val="005F515D"/>
    <w:rsid w:val="007B1593"/>
    <w:rsid w:val="00971C4E"/>
    <w:rsid w:val="00B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9F36"/>
  <w15:docId w15:val="{7E0E3DA8-8CE4-41E1-B444-B1FDF90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66C34"/>
  </w:style>
  <w:style w:type="character" w:customStyle="1" w:styleId="textexposedshow">
    <w:name w:val="text_exposed_show"/>
    <w:basedOn w:val="DefaultParagraphFont"/>
    <w:rsid w:val="00366C34"/>
  </w:style>
  <w:style w:type="character" w:customStyle="1" w:styleId="Heading1Char">
    <w:name w:val="Heading 1 Char"/>
    <w:basedOn w:val="DefaultParagraphFont"/>
    <w:link w:val="Heading1"/>
    <w:uiPriority w:val="9"/>
    <w:rsid w:val="00F24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41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1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mbrunume">
    <w:name w:val="membru_nume"/>
    <w:basedOn w:val="Normal"/>
    <w:rsid w:val="001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embrufunc">
    <w:name w:val="membru_func"/>
    <w:basedOn w:val="Normal"/>
    <w:rsid w:val="001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C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61"/>
  </w:style>
  <w:style w:type="paragraph" w:styleId="Footer">
    <w:name w:val="footer"/>
    <w:basedOn w:val="Normal"/>
    <w:link w:val="FooterChar"/>
    <w:uiPriority w:val="99"/>
    <w:unhideWhenUsed/>
    <w:rsid w:val="003C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61"/>
  </w:style>
  <w:style w:type="paragraph" w:styleId="ListParagraph">
    <w:name w:val="List Paragraph"/>
    <w:basedOn w:val="Normal"/>
    <w:uiPriority w:val="34"/>
    <w:qFormat/>
    <w:rsid w:val="001C59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0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6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Afa2TuXET74wegpPyF2b+/HNg==">AMUW2mUUut88B4OOqAvr5DRnhe2kwroldNBrCkIK2YIlr6QeKgBHPF0w2cTR8lIEMc3rn2Za1uHMifS1TpIY0rBjN2M5u//AFCeJj7KmvfkeGoXYDrg2oI532/KTUgLILT9y4HKtQY4n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Tudorache</dc:creator>
  <cp:lastModifiedBy>Gabriel Avacaritei</cp:lastModifiedBy>
  <cp:revision>4</cp:revision>
  <dcterms:created xsi:type="dcterms:W3CDTF">2021-02-25T14:33:00Z</dcterms:created>
  <dcterms:modified xsi:type="dcterms:W3CDTF">2021-09-16T05:33:00Z</dcterms:modified>
</cp:coreProperties>
</file>